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2491"/>
        <w:gridCol w:w="7416"/>
      </w:tblGrid>
      <w:tr w:rsidR="006661A2">
        <w:trPr>
          <w:trHeight w:hRule="exact" w:val="1373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Обґрунтування технічних та якісних характеристик предмета закупівлі, розміру бюджетного призначення, очікуваної</w:t>
            </w:r>
          </w:p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вартості предмета закупівлі</w:t>
            </w:r>
          </w:p>
        </w:tc>
      </w:tr>
      <w:tr w:rsidR="006661A2">
        <w:trPr>
          <w:trHeight w:hRule="exact" w:val="66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31" w:lineRule="exact"/>
            </w:pPr>
            <w:r>
              <w:rPr>
                <w:rStyle w:val="213pt"/>
              </w:rPr>
              <w:t>Назва предмета закупівлі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1A2" w:rsidRDefault="00035196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jc w:val="both"/>
            </w:pPr>
            <w:r w:rsidRPr="00035196">
              <w:rPr>
                <w:rStyle w:val="213pt0"/>
              </w:rPr>
              <w:t>Материнська плата до ПК (код за ДК 021:2015 – 30230000-2 — Комп’ютерне обладнання)</w:t>
            </w:r>
            <w:r w:rsidR="00522DDE">
              <w:rPr>
                <w:rStyle w:val="213pt0"/>
              </w:rPr>
              <w:t>.</w:t>
            </w:r>
          </w:p>
        </w:tc>
      </w:tr>
      <w:tr w:rsidR="006661A2" w:rsidTr="003B5BEC">
        <w:trPr>
          <w:trHeight w:hRule="exact" w:val="435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</w:pPr>
            <w:r>
              <w:rPr>
                <w:rStyle w:val="213pt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1A2" w:rsidRDefault="00522DDE" w:rsidP="000934FA">
            <w:pPr>
              <w:pStyle w:val="20"/>
              <w:framePr w:w="10282" w:h="14256" w:wrap="none" w:vAnchor="page" w:hAnchor="page" w:x="1211" w:y="1399"/>
              <w:shd w:val="clear" w:color="auto" w:fill="auto"/>
            </w:pPr>
            <w:r>
              <w:rPr>
                <w:rStyle w:val="213pt0"/>
              </w:rPr>
              <w:t xml:space="preserve">Для забезпечення належної працездатності комп’ютерної техніки протягом 2021 року, </w:t>
            </w:r>
            <w:r w:rsidR="003B5BEC">
              <w:rPr>
                <w:rStyle w:val="213pt0"/>
              </w:rPr>
              <w:t>проведення модернізації</w:t>
            </w:r>
            <w:r>
              <w:rPr>
                <w:rStyle w:val="213pt0"/>
              </w:rPr>
              <w:t xml:space="preserve"> </w:t>
            </w:r>
            <w:r w:rsidR="003B5BEC">
              <w:rPr>
                <w:rStyle w:val="213pt0"/>
              </w:rPr>
              <w:t>(</w:t>
            </w:r>
            <w:r>
              <w:rPr>
                <w:rStyle w:val="213pt0"/>
              </w:rPr>
              <w:t>заміни окремих фізично зношених елементів</w:t>
            </w:r>
            <w:r w:rsidR="003B5BEC">
              <w:rPr>
                <w:rStyle w:val="213pt0"/>
              </w:rPr>
              <w:t>)</w:t>
            </w:r>
            <w:r>
              <w:rPr>
                <w:rStyle w:val="213pt0"/>
              </w:rPr>
              <w:t xml:space="preserve"> комп’ютерної техніки, забезпечення працівників структурних підрозділів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 xml:space="preserve">ДПС </w:t>
            </w:r>
            <w:r w:rsidR="003B5BEC">
              <w:rPr>
                <w:rStyle w:val="213pt0"/>
              </w:rPr>
              <w:t>сучасними ПК, які відповідають вимогам програмного забезпечення щодо швидкодії та продуктивності</w:t>
            </w:r>
            <w:r>
              <w:rPr>
                <w:rStyle w:val="213pt0"/>
              </w:rPr>
              <w:t>.</w:t>
            </w:r>
          </w:p>
          <w:p w:rsidR="006661A2" w:rsidRDefault="00522DDE" w:rsidP="000934FA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Придбання необхідних </w:t>
            </w:r>
            <w:r w:rsidR="003B5BEC">
              <w:rPr>
                <w:rStyle w:val="213pt0"/>
              </w:rPr>
              <w:t>материнських плат</w:t>
            </w:r>
            <w:r>
              <w:rPr>
                <w:rStyle w:val="213pt0"/>
              </w:rPr>
              <w:t xml:space="preserve"> до комп’ютерної техніки дасть змогу:</w:t>
            </w:r>
          </w:p>
          <w:p w:rsidR="006661A2" w:rsidRDefault="00522DDE" w:rsidP="000934FA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ind w:firstLine="560"/>
            </w:pPr>
            <w:r>
              <w:rPr>
                <w:rStyle w:val="213pt0"/>
              </w:rPr>
              <w:t xml:space="preserve">відновити працездатність окремих одиниць та забезпечити надійність роботи комп'ютерної техніки, яка використовується працівниками структурних підрозділів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>ДПС;</w:t>
            </w:r>
          </w:p>
          <w:p w:rsidR="006661A2" w:rsidRDefault="00522DDE" w:rsidP="000934FA">
            <w:pPr>
              <w:pStyle w:val="20"/>
              <w:framePr w:w="10282" w:h="14256" w:wrap="none" w:vAnchor="page" w:hAnchor="page" w:x="1211" w:y="1399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326" w:lineRule="exact"/>
            </w:pPr>
            <w:r>
              <w:rPr>
                <w:rStyle w:val="213pt0"/>
              </w:rPr>
              <w:t xml:space="preserve">реалізувати своєчасне та якісне технічне забезпечення працівників структурних підрозділів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>ДПС.</w:t>
            </w:r>
          </w:p>
        </w:tc>
      </w:tr>
      <w:tr w:rsidR="006661A2" w:rsidTr="006D342D">
        <w:trPr>
          <w:trHeight w:hRule="exact" w:val="353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31" w:lineRule="exact"/>
            </w:pPr>
            <w:r>
              <w:rPr>
                <w:rStyle w:val="213pt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A2" w:rsidRDefault="00522DDE" w:rsidP="003B5BEC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Очікувана вартість закупівлі </w:t>
            </w:r>
            <w:r w:rsidR="003B5BEC">
              <w:rPr>
                <w:rStyle w:val="213pt0"/>
              </w:rPr>
              <w:t>материнських плат</w:t>
            </w:r>
            <w:r>
              <w:rPr>
                <w:rStyle w:val="213pt0"/>
              </w:rPr>
              <w:t xml:space="preserve"> до комп’ютерної техніки складає </w:t>
            </w:r>
            <w:r w:rsidR="00035196">
              <w:rPr>
                <w:rStyle w:val="213pt0"/>
              </w:rPr>
              <w:t>61,5</w:t>
            </w:r>
            <w:r>
              <w:rPr>
                <w:rStyle w:val="213pt0"/>
              </w:rPr>
              <w:t xml:space="preserve"> тис. грн. 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порівняння ринкових цін на такі товари, доступні у відкритих джерелах інформації (Інтернет). Розмір бюджетного призначення (згідно кошторису апарату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 xml:space="preserve">ДПС на 2021 рік) на закупівлю </w:t>
            </w:r>
            <w:r w:rsidR="003B5BEC">
              <w:rPr>
                <w:rStyle w:val="213pt0"/>
              </w:rPr>
              <w:t>материнських плат</w:t>
            </w:r>
            <w:bookmarkStart w:id="0" w:name="_GoBack"/>
            <w:bookmarkEnd w:id="0"/>
            <w:r>
              <w:rPr>
                <w:rStyle w:val="213pt0"/>
              </w:rPr>
              <w:t xml:space="preserve"> до комп’ютерної техніки складає: </w:t>
            </w:r>
            <w:r w:rsidR="00035196">
              <w:rPr>
                <w:rStyle w:val="213pt0"/>
              </w:rPr>
              <w:t>61,</w:t>
            </w:r>
            <w:r w:rsidR="006D342D">
              <w:rPr>
                <w:rStyle w:val="213pt0"/>
              </w:rPr>
              <w:t>5</w:t>
            </w:r>
            <w:r>
              <w:rPr>
                <w:rStyle w:val="213pt0"/>
              </w:rPr>
              <w:t xml:space="preserve"> тис. грн</w:t>
            </w:r>
          </w:p>
        </w:tc>
      </w:tr>
    </w:tbl>
    <w:p w:rsidR="006661A2" w:rsidRDefault="006661A2">
      <w:pPr>
        <w:rPr>
          <w:sz w:val="2"/>
          <w:szCs w:val="2"/>
        </w:rPr>
      </w:pPr>
    </w:p>
    <w:sectPr w:rsidR="006661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C9" w:rsidRDefault="00C41AC9">
      <w:r>
        <w:separator/>
      </w:r>
    </w:p>
  </w:endnote>
  <w:endnote w:type="continuationSeparator" w:id="0">
    <w:p w:rsidR="00C41AC9" w:rsidRDefault="00C4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C9" w:rsidRDefault="00C41AC9"/>
  </w:footnote>
  <w:footnote w:type="continuationSeparator" w:id="0">
    <w:p w:rsidR="00C41AC9" w:rsidRDefault="00C41A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E2F"/>
    <w:multiLevelType w:val="multilevel"/>
    <w:tmpl w:val="C6DEB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A2"/>
    <w:rsid w:val="00035196"/>
    <w:rsid w:val="000934FA"/>
    <w:rsid w:val="003B5BEC"/>
    <w:rsid w:val="00522DDE"/>
    <w:rsid w:val="006661A2"/>
    <w:rsid w:val="006D2F49"/>
    <w:rsid w:val="006D342D"/>
    <w:rsid w:val="008B45D2"/>
    <w:rsid w:val="00C4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EA90"/>
  <w15:docId w15:val="{0F557733-B5C2-4245-B5A8-ABF350F3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LucidaSansUnicode7pt">
    <w:name w:val="Основной текст (2) + Lucida Sans Unicode;7 pt;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55pt">
    <w:name w:val="Основной текст (2) + 5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 Bomba</dc:creator>
  <cp:lastModifiedBy>Capitan Bomba</cp:lastModifiedBy>
  <cp:revision>4</cp:revision>
  <dcterms:created xsi:type="dcterms:W3CDTF">2021-11-11T12:44:00Z</dcterms:created>
  <dcterms:modified xsi:type="dcterms:W3CDTF">2021-11-11T12:53:00Z</dcterms:modified>
</cp:coreProperties>
</file>