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5C13F" w14:textId="77777777" w:rsidR="00DE1321" w:rsidRDefault="00DE1321" w:rsidP="00FE43A1">
      <w:pPr>
        <w:spacing w:after="0" w:line="240" w:lineRule="auto"/>
        <w:rPr>
          <w:rFonts w:ascii="Times New Roman" w:hAnsi="Times New Roman" w:cs="Times New Roman"/>
          <w:sz w:val="28"/>
          <w:szCs w:val="28"/>
        </w:rPr>
      </w:pPr>
    </w:p>
    <w:p w14:paraId="4133B30E" w14:textId="77777777" w:rsidR="00FE43A1" w:rsidRDefault="00CC7CD8" w:rsidP="00CC7C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1</w:t>
      </w:r>
    </w:p>
    <w:p w14:paraId="7768FECB" w14:textId="77777777" w:rsidR="00CC7CD8" w:rsidRDefault="00CC7CD8" w:rsidP="00CC7CD8">
      <w:pPr>
        <w:spacing w:after="0" w:line="240" w:lineRule="auto"/>
        <w:jc w:val="right"/>
        <w:rPr>
          <w:rFonts w:ascii="Times New Roman" w:hAnsi="Times New Roman" w:cs="Times New Roman"/>
          <w:sz w:val="28"/>
          <w:szCs w:val="28"/>
        </w:rPr>
      </w:pPr>
    </w:p>
    <w:tbl>
      <w:tblPr>
        <w:tblStyle w:val="a3"/>
        <w:tblW w:w="10123" w:type="dxa"/>
        <w:tblLook w:val="04A0" w:firstRow="1" w:lastRow="0" w:firstColumn="1" w:lastColumn="0" w:noHBand="0" w:noVBand="1"/>
      </w:tblPr>
      <w:tblGrid>
        <w:gridCol w:w="414"/>
        <w:gridCol w:w="3494"/>
        <w:gridCol w:w="6202"/>
        <w:gridCol w:w="13"/>
      </w:tblGrid>
      <w:tr w:rsidR="00FE43A1" w14:paraId="3078A3ED" w14:textId="77777777" w:rsidTr="00FE43A1">
        <w:tc>
          <w:tcPr>
            <w:tcW w:w="10123" w:type="dxa"/>
            <w:gridSpan w:val="4"/>
          </w:tcPr>
          <w:p w14:paraId="1203A25E" w14:textId="50CEF758" w:rsidR="00FE43A1" w:rsidRPr="00705BD9" w:rsidRDefault="00657C59" w:rsidP="00DC74A4">
            <w:pPr>
              <w:spacing w:before="120" w:after="120"/>
              <w:jc w:val="center"/>
              <w:rPr>
                <w:rFonts w:ascii="Times New Roman" w:hAnsi="Times New Roman" w:cs="Times New Roman"/>
                <w:b/>
                <w:sz w:val="28"/>
                <w:szCs w:val="28"/>
              </w:rPr>
            </w:pPr>
            <w:r w:rsidRPr="00705BD9">
              <w:rPr>
                <w:rFonts w:ascii="Times New Roman" w:hAnsi="Times New Roman" w:cs="Times New Roman"/>
                <w:b/>
                <w:sz w:val="28"/>
                <w:szCs w:val="28"/>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657C59" w14:paraId="1B2AA1CD" w14:textId="77777777" w:rsidTr="00657C59">
        <w:trPr>
          <w:gridAfter w:val="1"/>
          <w:wAfter w:w="13" w:type="dxa"/>
        </w:trPr>
        <w:tc>
          <w:tcPr>
            <w:tcW w:w="414" w:type="dxa"/>
          </w:tcPr>
          <w:p w14:paraId="1F358248" w14:textId="5FBA447A" w:rsidR="00657C59" w:rsidRDefault="00657C59" w:rsidP="00FE43A1">
            <w:pPr>
              <w:rPr>
                <w:rFonts w:ascii="Times New Roman" w:hAnsi="Times New Roman" w:cs="Times New Roman"/>
                <w:sz w:val="28"/>
                <w:szCs w:val="28"/>
              </w:rPr>
            </w:pPr>
            <w:r w:rsidRPr="009B22F5">
              <w:rPr>
                <w:rFonts w:cstheme="minorHAnsi"/>
                <w:sz w:val="28"/>
                <w:szCs w:val="28"/>
              </w:rPr>
              <w:t>1</w:t>
            </w:r>
          </w:p>
        </w:tc>
        <w:tc>
          <w:tcPr>
            <w:tcW w:w="3494" w:type="dxa"/>
          </w:tcPr>
          <w:p w14:paraId="62D3CD0F" w14:textId="07E1E779" w:rsidR="00657C59" w:rsidRPr="0038080E" w:rsidRDefault="00657C59" w:rsidP="00DC74A4">
            <w:pPr>
              <w:spacing w:before="120" w:after="120"/>
              <w:rPr>
                <w:rFonts w:ascii="Times New Roman" w:hAnsi="Times New Roman" w:cs="Times New Roman"/>
                <w:b/>
                <w:sz w:val="28"/>
                <w:szCs w:val="28"/>
              </w:rPr>
            </w:pPr>
            <w:r w:rsidRPr="009B22F5">
              <w:rPr>
                <w:rFonts w:eastAsia="Times New Roman" w:cstheme="minorHAnsi"/>
                <w:color w:val="000000"/>
                <w:kern w:val="36"/>
                <w:sz w:val="28"/>
                <w:szCs w:val="28"/>
                <w:bdr w:val="none" w:sz="0" w:space="0" w:color="auto" w:frame="1"/>
                <w:lang w:eastAsia="uk-UA"/>
              </w:rPr>
              <w:t>Назва предмета закупівлі</w:t>
            </w:r>
          </w:p>
        </w:tc>
        <w:tc>
          <w:tcPr>
            <w:tcW w:w="6202" w:type="dxa"/>
          </w:tcPr>
          <w:p w14:paraId="726EAE89" w14:textId="0079B6B2" w:rsidR="00657C59" w:rsidRPr="000B57F9" w:rsidRDefault="00657C59" w:rsidP="00DC74A4">
            <w:pPr>
              <w:spacing w:before="120" w:after="120"/>
              <w:rPr>
                <w:rFonts w:ascii="Times New Roman" w:hAnsi="Times New Roman" w:cs="Times New Roman"/>
                <w:b/>
                <w:sz w:val="28"/>
                <w:szCs w:val="28"/>
                <w:lang w:val="ru-RU"/>
              </w:rPr>
            </w:pPr>
            <w:r w:rsidRPr="00435D33">
              <w:rPr>
                <w:rFonts w:eastAsia="Times New Roman" w:cstheme="minorHAnsi"/>
                <w:color w:val="000000"/>
                <w:kern w:val="36"/>
                <w:sz w:val="28"/>
                <w:szCs w:val="28"/>
                <w:bdr w:val="none" w:sz="0" w:space="0" w:color="auto" w:frame="1"/>
                <w:lang w:eastAsia="uk-UA"/>
              </w:rPr>
              <w:t>Послуги з активації доступу до комп'ютерної програми Ліга:Закон корпорація та подальшого абонентського обслуговування</w:t>
            </w:r>
            <w:r w:rsidRPr="009B22F5">
              <w:rPr>
                <w:rFonts w:eastAsia="Times New Roman" w:cstheme="minorHAnsi"/>
                <w:color w:val="000000"/>
                <w:kern w:val="36"/>
                <w:sz w:val="28"/>
                <w:szCs w:val="28"/>
                <w:bdr w:val="none" w:sz="0" w:space="0" w:color="auto" w:frame="1"/>
                <w:lang w:eastAsia="uk-UA"/>
              </w:rPr>
              <w:t xml:space="preserve"> код за ДК 021:2015 — 72260000-5 — Послуги, пов’язані з програмним забезпеченням</w:t>
            </w:r>
          </w:p>
        </w:tc>
      </w:tr>
      <w:tr w:rsidR="00657C59" w14:paraId="5B589371" w14:textId="77777777" w:rsidTr="00657C59">
        <w:trPr>
          <w:gridAfter w:val="1"/>
          <w:wAfter w:w="13" w:type="dxa"/>
        </w:trPr>
        <w:tc>
          <w:tcPr>
            <w:tcW w:w="414" w:type="dxa"/>
          </w:tcPr>
          <w:p w14:paraId="4D8DFBD4" w14:textId="586284CF" w:rsidR="00657C59" w:rsidRDefault="00657C59" w:rsidP="00FE43A1">
            <w:pPr>
              <w:rPr>
                <w:rFonts w:ascii="Times New Roman" w:hAnsi="Times New Roman" w:cs="Times New Roman"/>
                <w:sz w:val="28"/>
                <w:szCs w:val="28"/>
              </w:rPr>
            </w:pPr>
            <w:r w:rsidRPr="009B22F5">
              <w:rPr>
                <w:rFonts w:cstheme="minorHAnsi"/>
                <w:sz w:val="28"/>
                <w:szCs w:val="28"/>
              </w:rPr>
              <w:t>2</w:t>
            </w:r>
          </w:p>
        </w:tc>
        <w:tc>
          <w:tcPr>
            <w:tcW w:w="3494" w:type="dxa"/>
          </w:tcPr>
          <w:p w14:paraId="5B02E35C" w14:textId="568DD13D" w:rsidR="00657C59" w:rsidRDefault="00657C59" w:rsidP="00DC74A4">
            <w:pPr>
              <w:spacing w:before="120" w:after="120"/>
              <w:rPr>
                <w:rFonts w:ascii="Times New Roman" w:hAnsi="Times New Roman" w:cs="Times New Roman"/>
                <w:sz w:val="28"/>
                <w:szCs w:val="28"/>
              </w:rPr>
            </w:pPr>
            <w:r w:rsidRPr="009B22F5">
              <w:rPr>
                <w:rFonts w:cstheme="minorHAnsi"/>
                <w:color w:val="333333"/>
                <w:sz w:val="28"/>
                <w:szCs w:val="28"/>
                <w:shd w:val="clear" w:color="auto" w:fill="FFFFFF"/>
              </w:rPr>
              <w:t>Обґрунтування технічних та якісних характеристик предмета закупівлі</w:t>
            </w:r>
          </w:p>
        </w:tc>
        <w:tc>
          <w:tcPr>
            <w:tcW w:w="6202" w:type="dxa"/>
          </w:tcPr>
          <w:p w14:paraId="18D9171E" w14:textId="19A106E0" w:rsidR="00657C59" w:rsidRPr="00C27990" w:rsidRDefault="00657C59" w:rsidP="005B7CFA">
            <w:pPr>
              <w:spacing w:before="120" w:after="120"/>
              <w:ind w:firstLine="709"/>
              <w:jc w:val="both"/>
              <w:rPr>
                <w:rFonts w:ascii="Times New Roman" w:hAnsi="Times New Roman" w:cs="Times New Roman"/>
                <w:sz w:val="28"/>
                <w:szCs w:val="28"/>
              </w:rPr>
            </w:pPr>
            <w:r w:rsidRPr="009B22F5">
              <w:rPr>
                <w:rFonts w:eastAsia="Times New Roman" w:cstheme="minorHAnsi"/>
                <w:color w:val="000000"/>
                <w:kern w:val="36"/>
                <w:sz w:val="28"/>
                <w:szCs w:val="28"/>
                <w:bdr w:val="none" w:sz="0" w:space="0" w:color="auto" w:frame="1"/>
                <w:lang w:eastAsia="uk-UA"/>
              </w:rPr>
              <w:t>Система ЛІГА ЗАКОН – найповніше джерело систематизованої та достовірної правової інформації зі зручними інструментами для її пошуку. Дозволяє швидко знайти та проаналізувати правову інформацію на будь-який момент часу, оцінити ситуацію і прийняти правильне рішення. Сюди входять такі критерії, як розуміння правових ризиків при проведенні господарської діяльності, моніторинг зміни законодавства, аналітика, довідкова інформація про штрафи та санкції, повна законодавча база, судові прецеденти тощо Система незамінна в ГУ ДПС в Івано-Франківській області для проведення правового забезпечення юридичних та інших підрозділів. Виробництво та супровід інформаційно-програмних продуктів сертифіковані на відповідність системи якості ISO 9001. Також ЛІГА є технічним адміністратором Єдиного державного реєстру нормативно-правових актів. Еталонний фонд Реєстру сформований на основі баз даних ЛІГА:ЗАКОН. Система ЛІГА:ЗАКОН встановлена у судах України, податкових органах, митній службі та в багатьох інших органах влади. База даних ЛІГА:ЗАКОН налічує 80 млн. документів.</w:t>
            </w:r>
          </w:p>
        </w:tc>
      </w:tr>
      <w:tr w:rsidR="00657C59" w14:paraId="75604389" w14:textId="77777777" w:rsidTr="00657C59">
        <w:trPr>
          <w:gridAfter w:val="1"/>
          <w:wAfter w:w="13" w:type="dxa"/>
        </w:trPr>
        <w:tc>
          <w:tcPr>
            <w:tcW w:w="414" w:type="dxa"/>
          </w:tcPr>
          <w:p w14:paraId="701D4312" w14:textId="51918090" w:rsidR="00657C59" w:rsidRDefault="00657C59" w:rsidP="00FE43A1">
            <w:pPr>
              <w:rPr>
                <w:rFonts w:ascii="Times New Roman" w:hAnsi="Times New Roman" w:cs="Times New Roman"/>
                <w:sz w:val="28"/>
                <w:szCs w:val="28"/>
              </w:rPr>
            </w:pPr>
            <w:r w:rsidRPr="009B22F5">
              <w:rPr>
                <w:rFonts w:cstheme="minorHAnsi"/>
                <w:sz w:val="28"/>
                <w:szCs w:val="28"/>
              </w:rPr>
              <w:t>3</w:t>
            </w:r>
          </w:p>
        </w:tc>
        <w:tc>
          <w:tcPr>
            <w:tcW w:w="3494" w:type="dxa"/>
          </w:tcPr>
          <w:p w14:paraId="2DA2EE65" w14:textId="55FDEF33" w:rsidR="00657C59" w:rsidRDefault="00657C59" w:rsidP="00DC74A4">
            <w:pPr>
              <w:spacing w:before="120" w:after="120"/>
              <w:rPr>
                <w:rFonts w:ascii="Times New Roman" w:hAnsi="Times New Roman" w:cs="Times New Roman"/>
                <w:sz w:val="28"/>
                <w:szCs w:val="28"/>
              </w:rPr>
            </w:pPr>
            <w:r w:rsidRPr="009B22F5">
              <w:rPr>
                <w:rFonts w:cstheme="minorHAnsi"/>
                <w:color w:val="333333"/>
                <w:sz w:val="28"/>
                <w:szCs w:val="28"/>
                <w:shd w:val="clear" w:color="auto" w:fill="FFFFFF"/>
              </w:rPr>
              <w:t>Обґрунтування очікуваної вартості предмета закупівлі, розміру бюджетного призначення</w:t>
            </w:r>
          </w:p>
        </w:tc>
        <w:tc>
          <w:tcPr>
            <w:tcW w:w="6202" w:type="dxa"/>
          </w:tcPr>
          <w:p w14:paraId="09CE5E08" w14:textId="77777777" w:rsidR="00657C59" w:rsidRPr="009B22F5" w:rsidRDefault="00657C59" w:rsidP="00F7382D">
            <w:pPr>
              <w:jc w:val="both"/>
              <w:rPr>
                <w:rFonts w:eastAsia="Times New Roman" w:cstheme="minorHAnsi"/>
                <w:color w:val="000000"/>
                <w:kern w:val="36"/>
                <w:sz w:val="28"/>
                <w:szCs w:val="28"/>
                <w:bdr w:val="none" w:sz="0" w:space="0" w:color="auto" w:frame="1"/>
                <w:lang w:eastAsia="uk-UA"/>
              </w:rPr>
            </w:pPr>
            <w:r w:rsidRPr="009B22F5">
              <w:rPr>
                <w:rFonts w:eastAsia="Times New Roman" w:cstheme="minorHAnsi"/>
                <w:color w:val="000000"/>
                <w:kern w:val="36"/>
                <w:sz w:val="28"/>
                <w:szCs w:val="28"/>
                <w:bdr w:val="none" w:sz="0" w:space="0" w:color="auto" w:frame="1"/>
                <w:lang w:eastAsia="uk-UA"/>
              </w:rPr>
              <w:t xml:space="preserve">Так, як це предмет, інтелектуальної власності, ціноутворення на нього визначається власником об’єкта. За інформацією від власника об’єкта ТОВ «Ліга Закон 1» </w:t>
            </w:r>
          </w:p>
          <w:p w14:paraId="4CFA1EF7" w14:textId="77777777" w:rsidR="00657C59" w:rsidRPr="009B22F5" w:rsidRDefault="00657C59" w:rsidP="00F7382D">
            <w:pPr>
              <w:jc w:val="both"/>
              <w:rPr>
                <w:rFonts w:eastAsia="Times New Roman" w:cstheme="minorHAnsi"/>
                <w:color w:val="000000"/>
                <w:kern w:val="36"/>
                <w:sz w:val="28"/>
                <w:szCs w:val="28"/>
                <w:bdr w:val="none" w:sz="0" w:space="0" w:color="auto" w:frame="1"/>
                <w:lang w:eastAsia="uk-UA"/>
              </w:rPr>
            </w:pPr>
            <w:r w:rsidRPr="009B22F5">
              <w:rPr>
                <w:rFonts w:eastAsia="Times New Roman" w:cstheme="minorHAnsi"/>
                <w:color w:val="000000"/>
                <w:kern w:val="36"/>
                <w:sz w:val="28"/>
                <w:szCs w:val="28"/>
                <w:bdr w:val="none" w:sz="0" w:space="0" w:color="auto" w:frame="1"/>
                <w:lang w:eastAsia="uk-UA"/>
              </w:rPr>
              <w:t xml:space="preserve">Для обґрунтування орієнтовної вартості послуг з доступу до системи «ЛІГА Закон» у 2021р. використано інформацію з офіційного сайту </w:t>
            </w:r>
            <w:r w:rsidRPr="009B22F5">
              <w:rPr>
                <w:rFonts w:eastAsia="Times New Roman" w:cstheme="minorHAnsi"/>
                <w:color w:val="000000"/>
                <w:kern w:val="36"/>
                <w:sz w:val="28"/>
                <w:szCs w:val="28"/>
                <w:bdr w:val="none" w:sz="0" w:space="0" w:color="auto" w:frame="1"/>
                <w:lang w:eastAsia="uk-UA"/>
              </w:rPr>
              <w:lastRenderedPageBreak/>
              <w:t xml:space="preserve">компанії. Доступ до </w:t>
            </w:r>
            <w:proofErr w:type="spellStart"/>
            <w:r w:rsidRPr="009B22F5">
              <w:rPr>
                <w:rFonts w:eastAsia="Times New Roman" w:cstheme="minorHAnsi"/>
                <w:color w:val="000000"/>
                <w:kern w:val="36"/>
                <w:sz w:val="28"/>
                <w:szCs w:val="28"/>
                <w:bdr w:val="none" w:sz="0" w:space="0" w:color="auto" w:frame="1"/>
                <w:lang w:eastAsia="uk-UA"/>
              </w:rPr>
              <w:t>прайсу</w:t>
            </w:r>
            <w:proofErr w:type="spellEnd"/>
            <w:r w:rsidRPr="009B22F5">
              <w:rPr>
                <w:rFonts w:eastAsia="Times New Roman" w:cstheme="minorHAnsi"/>
                <w:color w:val="000000"/>
                <w:kern w:val="36"/>
                <w:sz w:val="28"/>
                <w:szCs w:val="28"/>
                <w:bdr w:val="none" w:sz="0" w:space="0" w:color="auto" w:frame="1"/>
                <w:lang w:eastAsia="uk-UA"/>
              </w:rPr>
              <w:t xml:space="preserve"> можна отримати за посиланням: https://store.ligazakon.net/media/2226/price_lz.pdf</w:t>
            </w:r>
          </w:p>
          <w:p w14:paraId="3282BD34" w14:textId="77777777" w:rsidR="00657C59" w:rsidRPr="009B22F5" w:rsidRDefault="00657C59" w:rsidP="00F7382D">
            <w:pPr>
              <w:jc w:val="both"/>
              <w:rPr>
                <w:rFonts w:eastAsia="Times New Roman" w:cstheme="minorHAnsi"/>
                <w:color w:val="000000"/>
                <w:kern w:val="36"/>
                <w:sz w:val="28"/>
                <w:szCs w:val="28"/>
                <w:bdr w:val="none" w:sz="0" w:space="0" w:color="auto" w:frame="1"/>
                <w:lang w:eastAsia="uk-UA"/>
              </w:rPr>
            </w:pPr>
            <w:r w:rsidRPr="009B22F5">
              <w:rPr>
                <w:rFonts w:eastAsia="Times New Roman" w:cstheme="minorHAnsi"/>
                <w:color w:val="000000"/>
                <w:kern w:val="36"/>
                <w:sz w:val="28"/>
                <w:szCs w:val="28"/>
                <w:bdr w:val="none" w:sz="0" w:space="0" w:color="auto" w:frame="1"/>
                <w:lang w:eastAsia="uk-UA"/>
              </w:rPr>
              <w:t xml:space="preserve">На даний час ГУ ДПС в Івано-Франківській області використовує </w:t>
            </w:r>
            <w:proofErr w:type="spellStart"/>
            <w:r w:rsidRPr="009B22F5">
              <w:rPr>
                <w:rFonts w:eastAsia="Times New Roman" w:cstheme="minorHAnsi"/>
                <w:color w:val="000000"/>
                <w:kern w:val="36"/>
                <w:sz w:val="28"/>
                <w:szCs w:val="28"/>
                <w:bdr w:val="none" w:sz="0" w:space="0" w:color="auto" w:frame="1"/>
                <w:lang w:eastAsia="uk-UA"/>
              </w:rPr>
              <w:t>офлайн</w:t>
            </w:r>
            <w:proofErr w:type="spellEnd"/>
            <w:r w:rsidRPr="009B22F5">
              <w:rPr>
                <w:rFonts w:eastAsia="Times New Roman" w:cstheme="minorHAnsi"/>
                <w:color w:val="000000"/>
                <w:kern w:val="36"/>
                <w:sz w:val="28"/>
                <w:szCs w:val="28"/>
                <w:bdr w:val="none" w:sz="0" w:space="0" w:color="auto" w:frame="1"/>
                <w:lang w:eastAsia="uk-UA"/>
              </w:rPr>
              <w:t xml:space="preserve"> систему Ліга:ЗАКОН Корпорація Регіон 7.7. мережа до 50 </w:t>
            </w:r>
            <w:proofErr w:type="spellStart"/>
            <w:r w:rsidRPr="009B22F5">
              <w:rPr>
                <w:rFonts w:eastAsia="Times New Roman" w:cstheme="minorHAnsi"/>
                <w:color w:val="000000"/>
                <w:kern w:val="36"/>
                <w:sz w:val="28"/>
                <w:szCs w:val="28"/>
                <w:bdr w:val="none" w:sz="0" w:space="0" w:color="auto" w:frame="1"/>
                <w:lang w:eastAsia="uk-UA"/>
              </w:rPr>
              <w:t>р.м</w:t>
            </w:r>
            <w:proofErr w:type="spellEnd"/>
            <w:r w:rsidRPr="009B22F5">
              <w:rPr>
                <w:rFonts w:eastAsia="Times New Roman" w:cstheme="minorHAnsi"/>
                <w:color w:val="000000"/>
                <w:kern w:val="36"/>
                <w:sz w:val="28"/>
                <w:szCs w:val="28"/>
                <w:bdr w:val="none" w:sz="0" w:space="0" w:color="auto" w:frame="1"/>
                <w:lang w:eastAsia="uk-UA"/>
              </w:rPr>
              <w:t xml:space="preserve">. </w:t>
            </w:r>
          </w:p>
          <w:p w14:paraId="5CA134B4" w14:textId="77777777" w:rsidR="00657C59" w:rsidRPr="009B22F5" w:rsidRDefault="00657C59" w:rsidP="00F7382D">
            <w:pPr>
              <w:jc w:val="both"/>
              <w:rPr>
                <w:rFonts w:eastAsia="Times New Roman" w:cstheme="minorHAnsi"/>
                <w:color w:val="000000"/>
                <w:kern w:val="36"/>
                <w:sz w:val="28"/>
                <w:szCs w:val="28"/>
                <w:bdr w:val="none" w:sz="0" w:space="0" w:color="auto" w:frame="1"/>
                <w:lang w:eastAsia="uk-UA"/>
              </w:rPr>
            </w:pPr>
            <w:r w:rsidRPr="009B22F5">
              <w:rPr>
                <w:rFonts w:eastAsia="Times New Roman" w:cstheme="minorHAnsi"/>
                <w:color w:val="000000"/>
                <w:kern w:val="36"/>
                <w:sz w:val="28"/>
                <w:szCs w:val="28"/>
                <w:bdr w:val="none" w:sz="0" w:space="0" w:color="auto" w:frame="1"/>
                <w:lang w:eastAsia="uk-UA"/>
              </w:rPr>
              <w:t xml:space="preserve">Вартість абонентського обслуговування становить 2860,00 грн. за одне робоче місце за місяць. Таким чином, </w:t>
            </w:r>
            <w:proofErr w:type="spellStart"/>
            <w:r w:rsidRPr="009B22F5">
              <w:rPr>
                <w:rFonts w:eastAsia="Times New Roman" w:cstheme="minorHAnsi"/>
                <w:color w:val="000000"/>
                <w:kern w:val="36"/>
                <w:sz w:val="28"/>
                <w:szCs w:val="28"/>
                <w:bdr w:val="none" w:sz="0" w:space="0" w:color="auto" w:frame="1"/>
                <w:lang w:eastAsia="uk-UA"/>
              </w:rPr>
              <w:t>абонплата</w:t>
            </w:r>
            <w:proofErr w:type="spellEnd"/>
            <w:r w:rsidRPr="009B22F5">
              <w:rPr>
                <w:rFonts w:eastAsia="Times New Roman" w:cstheme="minorHAnsi"/>
                <w:color w:val="000000"/>
                <w:kern w:val="36"/>
                <w:sz w:val="28"/>
                <w:szCs w:val="28"/>
                <w:bdr w:val="none" w:sz="0" w:space="0" w:color="auto" w:frame="1"/>
                <w:lang w:eastAsia="uk-UA"/>
              </w:rPr>
              <w:t xml:space="preserve"> для ГУ ДПС в області за 50 робочих місць на 2021 рік мала б складати: 2860,00 х 50х12 =1716000,00 грн. </w:t>
            </w:r>
          </w:p>
          <w:p w14:paraId="2F6FBBCD" w14:textId="77777777" w:rsidR="00657C59" w:rsidRPr="009B22F5" w:rsidRDefault="00657C59" w:rsidP="00F7382D">
            <w:pPr>
              <w:jc w:val="both"/>
              <w:rPr>
                <w:rFonts w:eastAsia="Times New Roman" w:cstheme="minorHAnsi"/>
                <w:color w:val="000000"/>
                <w:kern w:val="36"/>
                <w:sz w:val="28"/>
                <w:szCs w:val="28"/>
                <w:bdr w:val="none" w:sz="0" w:space="0" w:color="auto" w:frame="1"/>
                <w:lang w:eastAsia="uk-UA"/>
              </w:rPr>
            </w:pPr>
            <w:r w:rsidRPr="009B22F5">
              <w:rPr>
                <w:rFonts w:eastAsia="Times New Roman" w:cstheme="minorHAnsi"/>
                <w:color w:val="000000"/>
                <w:kern w:val="36"/>
                <w:sz w:val="28"/>
                <w:szCs w:val="28"/>
                <w:bdr w:val="none" w:sz="0" w:space="0" w:color="auto" w:frame="1"/>
                <w:lang w:eastAsia="uk-UA"/>
              </w:rPr>
              <w:t xml:space="preserve">Враховуючи високий рівень персональної знижки (97%), як постійного клієнта компанії, орієнтовна вартість витрат на 2021 рік складе: </w:t>
            </w:r>
          </w:p>
          <w:p w14:paraId="32515615" w14:textId="6C847C37" w:rsidR="00657C59" w:rsidRDefault="00657C59" w:rsidP="00D62C16">
            <w:pPr>
              <w:spacing w:after="120"/>
              <w:ind w:firstLine="709"/>
              <w:jc w:val="both"/>
              <w:rPr>
                <w:rFonts w:ascii="Times New Roman" w:hAnsi="Times New Roman" w:cs="Times New Roman"/>
                <w:sz w:val="28"/>
                <w:szCs w:val="28"/>
              </w:rPr>
            </w:pPr>
            <w:r w:rsidRPr="009B22F5">
              <w:rPr>
                <w:rFonts w:eastAsia="Times New Roman" w:cstheme="minorHAnsi"/>
                <w:color w:val="000000"/>
                <w:kern w:val="36"/>
                <w:sz w:val="28"/>
                <w:szCs w:val="28"/>
                <w:bdr w:val="none" w:sz="0" w:space="0" w:color="auto" w:frame="1"/>
                <w:lang w:eastAsia="uk-UA"/>
              </w:rPr>
              <w:t xml:space="preserve">1716000х3%≈49440 </w:t>
            </w:r>
            <w:proofErr w:type="spellStart"/>
            <w:r w:rsidRPr="009B22F5">
              <w:rPr>
                <w:rFonts w:eastAsia="Times New Roman" w:cstheme="minorHAnsi"/>
                <w:color w:val="000000"/>
                <w:kern w:val="36"/>
                <w:sz w:val="28"/>
                <w:szCs w:val="28"/>
                <w:bdr w:val="none" w:sz="0" w:space="0" w:color="auto" w:frame="1"/>
                <w:lang w:eastAsia="uk-UA"/>
              </w:rPr>
              <w:t>грн</w:t>
            </w:r>
            <w:proofErr w:type="spellEnd"/>
            <w:r w:rsidRPr="009B22F5">
              <w:rPr>
                <w:rFonts w:eastAsia="Times New Roman" w:cstheme="minorHAnsi"/>
                <w:color w:val="000000"/>
                <w:kern w:val="36"/>
                <w:sz w:val="28"/>
                <w:szCs w:val="28"/>
                <w:bdr w:val="none" w:sz="0" w:space="0" w:color="auto" w:frame="1"/>
                <w:lang w:eastAsia="uk-UA"/>
              </w:rPr>
              <w:t xml:space="preserve"> </w:t>
            </w:r>
          </w:p>
        </w:tc>
      </w:tr>
    </w:tbl>
    <w:p w14:paraId="090BCBCB" w14:textId="77777777" w:rsidR="00FE43A1" w:rsidRDefault="00FE43A1" w:rsidP="00FE43A1">
      <w:pPr>
        <w:spacing w:after="0" w:line="240" w:lineRule="auto"/>
        <w:rPr>
          <w:rFonts w:ascii="Times New Roman" w:hAnsi="Times New Roman" w:cs="Times New Roman"/>
          <w:sz w:val="28"/>
          <w:szCs w:val="28"/>
        </w:rPr>
      </w:pPr>
      <w:bookmarkStart w:id="0" w:name="_GoBack"/>
      <w:bookmarkEnd w:id="0"/>
    </w:p>
    <w:p w14:paraId="7BF26FC2" w14:textId="77777777" w:rsidR="00D47CB6" w:rsidRDefault="00D47CB6" w:rsidP="00D47CB6">
      <w:pPr>
        <w:rPr>
          <w:rFonts w:ascii="Times New Roman" w:hAnsi="Times New Roman" w:cs="Times New Roman"/>
          <w:sz w:val="28"/>
          <w:szCs w:val="28"/>
        </w:rPr>
      </w:pPr>
    </w:p>
    <w:p w14:paraId="491CB227" w14:textId="77777777" w:rsidR="00D47CB6" w:rsidRDefault="00D47CB6" w:rsidP="00D47CB6">
      <w:pPr>
        <w:rPr>
          <w:rFonts w:ascii="Times New Roman" w:hAnsi="Times New Roman" w:cs="Times New Roman"/>
          <w:sz w:val="28"/>
          <w:szCs w:val="28"/>
        </w:rPr>
      </w:pPr>
    </w:p>
    <w:p w14:paraId="6CEB60D2" w14:textId="77777777" w:rsidR="00D47CB6" w:rsidRDefault="00D47CB6" w:rsidP="00D47CB6">
      <w:pPr>
        <w:rPr>
          <w:rFonts w:ascii="Times New Roman" w:hAnsi="Times New Roman" w:cs="Times New Roman"/>
          <w:sz w:val="28"/>
          <w:szCs w:val="28"/>
        </w:rPr>
      </w:pPr>
    </w:p>
    <w:sectPr w:rsidR="00D47C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91CEE"/>
    <w:multiLevelType w:val="hybridMultilevel"/>
    <w:tmpl w:val="10AAD0C0"/>
    <w:lvl w:ilvl="0" w:tplc="E1703FD4">
      <w:start w:val="1"/>
      <w:numFmt w:val="decimal"/>
      <w:lvlText w:val="%1)"/>
      <w:lvlJc w:val="left"/>
      <w:pPr>
        <w:ind w:left="890" w:hanging="465"/>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A1"/>
    <w:rsid w:val="00024AE8"/>
    <w:rsid w:val="0006703E"/>
    <w:rsid w:val="000B57F9"/>
    <w:rsid w:val="000E409D"/>
    <w:rsid w:val="001352E3"/>
    <w:rsid w:val="00203A7E"/>
    <w:rsid w:val="002126DB"/>
    <w:rsid w:val="00256732"/>
    <w:rsid w:val="0034246F"/>
    <w:rsid w:val="0038080E"/>
    <w:rsid w:val="00477B3A"/>
    <w:rsid w:val="00495054"/>
    <w:rsid w:val="004E2543"/>
    <w:rsid w:val="00532272"/>
    <w:rsid w:val="00592BA0"/>
    <w:rsid w:val="005B7CFA"/>
    <w:rsid w:val="00600068"/>
    <w:rsid w:val="00640CE1"/>
    <w:rsid w:val="0065598D"/>
    <w:rsid w:val="00657C59"/>
    <w:rsid w:val="00663279"/>
    <w:rsid w:val="00705BD9"/>
    <w:rsid w:val="00877456"/>
    <w:rsid w:val="008A5B5E"/>
    <w:rsid w:val="008D4D3C"/>
    <w:rsid w:val="00963ED5"/>
    <w:rsid w:val="00A91590"/>
    <w:rsid w:val="00A95946"/>
    <w:rsid w:val="00B47831"/>
    <w:rsid w:val="00BE10FF"/>
    <w:rsid w:val="00C27990"/>
    <w:rsid w:val="00C3796F"/>
    <w:rsid w:val="00C54803"/>
    <w:rsid w:val="00C57824"/>
    <w:rsid w:val="00CC7CD8"/>
    <w:rsid w:val="00D157CF"/>
    <w:rsid w:val="00D208D9"/>
    <w:rsid w:val="00D3282A"/>
    <w:rsid w:val="00D47CB6"/>
    <w:rsid w:val="00D62C16"/>
    <w:rsid w:val="00D65CDA"/>
    <w:rsid w:val="00DC697F"/>
    <w:rsid w:val="00DC74A4"/>
    <w:rsid w:val="00DD34E8"/>
    <w:rsid w:val="00DE1321"/>
    <w:rsid w:val="00EC4DA6"/>
    <w:rsid w:val="00EE5D29"/>
    <w:rsid w:val="00F02AFC"/>
    <w:rsid w:val="00F32404"/>
    <w:rsid w:val="00F82EA0"/>
    <w:rsid w:val="00FE0413"/>
    <w:rsid w:val="00FE43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5F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2543"/>
    <w:rPr>
      <w:color w:val="0563C1" w:themeColor="hyperlink"/>
      <w:u w:val="single"/>
    </w:rPr>
  </w:style>
  <w:style w:type="character" w:styleId="a5">
    <w:name w:val="FollowedHyperlink"/>
    <w:basedOn w:val="a0"/>
    <w:uiPriority w:val="99"/>
    <w:semiHidden/>
    <w:unhideWhenUsed/>
    <w:rsid w:val="004E2543"/>
    <w:rPr>
      <w:color w:val="954F72" w:themeColor="followedHyperlink"/>
      <w:u w:val="single"/>
    </w:rPr>
  </w:style>
  <w:style w:type="paragraph" w:styleId="a6">
    <w:name w:val="List Paragraph"/>
    <w:basedOn w:val="a"/>
    <w:uiPriority w:val="34"/>
    <w:qFormat/>
    <w:rsid w:val="00D3282A"/>
    <w:pPr>
      <w:ind w:left="720"/>
      <w:contextualSpacing/>
    </w:pPr>
  </w:style>
  <w:style w:type="paragraph" w:styleId="a7">
    <w:name w:val="Balloon Text"/>
    <w:basedOn w:val="a"/>
    <w:link w:val="a8"/>
    <w:uiPriority w:val="99"/>
    <w:semiHidden/>
    <w:unhideWhenUsed/>
    <w:rsid w:val="00B4783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47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E2543"/>
    <w:rPr>
      <w:color w:val="0563C1" w:themeColor="hyperlink"/>
      <w:u w:val="single"/>
    </w:rPr>
  </w:style>
  <w:style w:type="character" w:styleId="a5">
    <w:name w:val="FollowedHyperlink"/>
    <w:basedOn w:val="a0"/>
    <w:uiPriority w:val="99"/>
    <w:semiHidden/>
    <w:unhideWhenUsed/>
    <w:rsid w:val="004E2543"/>
    <w:rPr>
      <w:color w:val="954F72" w:themeColor="followedHyperlink"/>
      <w:u w:val="single"/>
    </w:rPr>
  </w:style>
  <w:style w:type="paragraph" w:styleId="a6">
    <w:name w:val="List Paragraph"/>
    <w:basedOn w:val="a"/>
    <w:uiPriority w:val="34"/>
    <w:qFormat/>
    <w:rsid w:val="00D3282A"/>
    <w:pPr>
      <w:ind w:left="720"/>
      <w:contextualSpacing/>
    </w:pPr>
  </w:style>
  <w:style w:type="paragraph" w:styleId="a7">
    <w:name w:val="Balloon Text"/>
    <w:basedOn w:val="a"/>
    <w:link w:val="a8"/>
    <w:uiPriority w:val="99"/>
    <w:semiHidden/>
    <w:unhideWhenUsed/>
    <w:rsid w:val="00B47831"/>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47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543B-7EC1-47DE-B9B4-42CF7477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1599</Words>
  <Characters>912</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Б. Тюшка</dc:creator>
  <cp:lastModifiedBy>Оксана В. Петришин</cp:lastModifiedBy>
  <cp:revision>2</cp:revision>
  <cp:lastPrinted>2021-02-15T14:26:00Z</cp:lastPrinted>
  <dcterms:created xsi:type="dcterms:W3CDTF">2021-03-05T12:40:00Z</dcterms:created>
  <dcterms:modified xsi:type="dcterms:W3CDTF">2021-03-05T12:40:00Z</dcterms:modified>
</cp:coreProperties>
</file>